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4F" w:rsidRPr="00C8424F" w:rsidRDefault="00C8424F" w:rsidP="00C8424F">
      <w:pPr>
        <w:pStyle w:val="baslk"/>
        <w:spacing w:line="240" w:lineRule="atLeast"/>
        <w:jc w:val="center"/>
      </w:pPr>
      <w:r w:rsidRPr="00C8424F">
        <w:rPr>
          <w:rFonts w:ascii="Times New Roman" w:hAnsi="Times New Roman" w:cs="Times New Roman"/>
        </w:rPr>
        <w:t xml:space="preserve">657 SAYILI DEVLET MEMURLARI KANUNU, 926 SAYILI TÜRK SİLAHLI KUVVETLERİ PERSONEL KANUNU, 2802 SAYILI </w:t>
      </w:r>
      <w:proofErr w:type="gramStart"/>
      <w:r w:rsidRPr="00C8424F">
        <w:rPr>
          <w:rFonts w:ascii="Times New Roman" w:hAnsi="Times New Roman" w:cs="Times New Roman"/>
        </w:rPr>
        <w:t>HAKİMLER</w:t>
      </w:r>
      <w:proofErr w:type="gramEnd"/>
      <w:r w:rsidRPr="00C8424F">
        <w:rPr>
          <w:rFonts w:ascii="Times New Roman" w:hAnsi="Times New Roman" w:cs="Times New Roman"/>
        </w:rPr>
        <w:t xml:space="preserve"> VE SAVCILAR KANUNU, 2914 SAYILI YÜKSEKÖĞRETİM PERSONEL KANUNU, 5434 SAYILI T.C. EMEKLİ SANDIĞI KANUNU İLE DİĞER BAZI KANUN VE KANUN HÜKMÜNDE KARARNAMELERDE DEĞİŞİKLİK YAPILMASI, DEVLET MEMURLARI VE DİĞER KAMU GÖREVLİLERİNE MEMURİYET TABAN AYLIĞI VE KIDEM AYLIĞI İLE EK TAZMİNAT ÖDENMESİ HAKKINDA KANUN HÜKMÜNDE KARARNAME</w:t>
      </w:r>
    </w:p>
    <w:p w:rsidR="00C8424F" w:rsidRPr="00C8424F" w:rsidRDefault="00C8424F" w:rsidP="00C8424F">
      <w:pPr>
        <w:spacing w:line="240" w:lineRule="atLeast"/>
        <w:jc w:val="center"/>
        <w:rPr>
          <w:sz w:val="24"/>
          <w:szCs w:val="24"/>
        </w:rPr>
      </w:pPr>
      <w:r w:rsidRPr="00C8424F">
        <w:rPr>
          <w:b/>
          <w:bCs/>
          <w:sz w:val="24"/>
          <w:szCs w:val="24"/>
        </w:rPr>
        <w:t> </w:t>
      </w:r>
    </w:p>
    <w:p w:rsidR="00C8424F" w:rsidRPr="00C8424F" w:rsidRDefault="00C8424F" w:rsidP="00C8424F">
      <w:pPr>
        <w:pStyle w:val="kantab"/>
        <w:spacing w:line="240" w:lineRule="atLeast"/>
        <w:rPr>
          <w:sz w:val="24"/>
          <w:szCs w:val="24"/>
        </w:rPr>
      </w:pPr>
      <w:r w:rsidRPr="00C8424F">
        <w:rPr>
          <w:rFonts w:ascii="Times New Roman" w:hAnsi="Times New Roman" w:cs="Times New Roman"/>
          <w:sz w:val="24"/>
          <w:szCs w:val="24"/>
        </w:rPr>
        <w:t xml:space="preserve">          Kanun </w:t>
      </w:r>
      <w:proofErr w:type="spellStart"/>
      <w:r w:rsidRPr="00C8424F">
        <w:rPr>
          <w:rFonts w:ascii="Times New Roman" w:hAnsi="Times New Roman" w:cs="Times New Roman"/>
          <w:sz w:val="24"/>
          <w:szCs w:val="24"/>
        </w:rPr>
        <w:t>Hük</w:t>
      </w:r>
      <w:proofErr w:type="spellEnd"/>
      <w:r w:rsidRPr="00C8424F">
        <w:rPr>
          <w:rFonts w:ascii="Times New Roman" w:hAnsi="Times New Roman" w:cs="Times New Roman"/>
          <w:sz w:val="24"/>
          <w:szCs w:val="24"/>
        </w:rPr>
        <w:t xml:space="preserve">. </w:t>
      </w:r>
      <w:proofErr w:type="spellStart"/>
      <w:proofErr w:type="gramStart"/>
      <w:r w:rsidRPr="00C8424F">
        <w:rPr>
          <w:rFonts w:ascii="Times New Roman" w:hAnsi="Times New Roman" w:cs="Times New Roman"/>
          <w:sz w:val="24"/>
          <w:szCs w:val="24"/>
        </w:rPr>
        <w:t>Kar.nin</w:t>
      </w:r>
      <w:proofErr w:type="spellEnd"/>
      <w:proofErr w:type="gramEnd"/>
      <w:r w:rsidRPr="00C8424F">
        <w:rPr>
          <w:rFonts w:ascii="Times New Roman" w:hAnsi="Times New Roman" w:cs="Times New Roman"/>
          <w:sz w:val="24"/>
          <w:szCs w:val="24"/>
        </w:rPr>
        <w:t xml:space="preserve"> Tarihi   :  27.6.1989 No : 375 </w:t>
      </w:r>
    </w:p>
    <w:p w:rsidR="00C8424F" w:rsidRPr="00C8424F" w:rsidRDefault="00C8424F" w:rsidP="00C8424F">
      <w:pPr>
        <w:pStyle w:val="kantab"/>
        <w:spacing w:line="240" w:lineRule="atLeast"/>
        <w:rPr>
          <w:sz w:val="24"/>
          <w:szCs w:val="24"/>
        </w:rPr>
      </w:pPr>
      <w:r w:rsidRPr="00C8424F">
        <w:rPr>
          <w:rFonts w:ascii="Times New Roman" w:hAnsi="Times New Roman" w:cs="Times New Roman"/>
          <w:sz w:val="24"/>
          <w:szCs w:val="24"/>
        </w:rPr>
        <w:t xml:space="preserve">          Yayımlandığı R. G. </w:t>
      </w:r>
      <w:proofErr w:type="gramStart"/>
      <w:r w:rsidRPr="00C8424F">
        <w:rPr>
          <w:rFonts w:ascii="Times New Roman" w:hAnsi="Times New Roman" w:cs="Times New Roman"/>
          <w:sz w:val="24"/>
          <w:szCs w:val="24"/>
        </w:rPr>
        <w:t>Tarihi      :   30</w:t>
      </w:r>
      <w:proofErr w:type="gramEnd"/>
      <w:r w:rsidRPr="00C8424F">
        <w:rPr>
          <w:rFonts w:ascii="Times New Roman" w:hAnsi="Times New Roman" w:cs="Times New Roman"/>
          <w:sz w:val="24"/>
          <w:szCs w:val="24"/>
        </w:rPr>
        <w:t>.6.1989 No : Mükerrer 20211</w:t>
      </w:r>
    </w:p>
    <w:p w:rsidR="00C8424F" w:rsidRPr="00C8424F" w:rsidRDefault="00C8424F" w:rsidP="00C8424F">
      <w:pPr>
        <w:pStyle w:val="nor"/>
        <w:spacing w:line="240" w:lineRule="atLeast"/>
        <w:rPr>
          <w:sz w:val="24"/>
          <w:szCs w:val="24"/>
        </w:rPr>
      </w:pPr>
      <w:r w:rsidRPr="00C8424F">
        <w:rPr>
          <w:rFonts w:ascii="Times New Roman" w:hAnsi="Times New Roman" w:cs="Times New Roman"/>
          <w:sz w:val="24"/>
          <w:szCs w:val="24"/>
        </w:rPr>
        <w:t> </w:t>
      </w:r>
    </w:p>
    <w:p w:rsidR="00C8424F" w:rsidRPr="00C8424F" w:rsidRDefault="00C8424F" w:rsidP="00C8424F">
      <w:pPr>
        <w:pStyle w:val="norf3"/>
        <w:spacing w:line="240" w:lineRule="atLeast"/>
        <w:rPr>
          <w:sz w:val="24"/>
          <w:szCs w:val="24"/>
        </w:rPr>
      </w:pPr>
      <w:r w:rsidRPr="00C8424F">
        <w:rPr>
          <w:rFonts w:ascii="Times New Roman" w:hAnsi="Times New Roman" w:cs="Times New Roman"/>
          <w:sz w:val="24"/>
          <w:szCs w:val="24"/>
        </w:rPr>
        <w:t xml:space="preserve">             </w:t>
      </w:r>
      <w:r w:rsidRPr="00C8424F">
        <w:rPr>
          <w:rFonts w:ascii="Times New Roman" w:hAnsi="Times New Roman" w:cs="Times New Roman"/>
          <w:b/>
          <w:bCs/>
          <w:sz w:val="24"/>
          <w:szCs w:val="24"/>
        </w:rPr>
        <w:t xml:space="preserve">Madde 2 – (Değişik: 20/3/1997 - KHK - 570/15 </w:t>
      </w:r>
      <w:proofErr w:type="spellStart"/>
      <w:r w:rsidRPr="00C8424F">
        <w:rPr>
          <w:rFonts w:ascii="Times New Roman" w:hAnsi="Times New Roman" w:cs="Times New Roman"/>
          <w:b/>
          <w:bCs/>
          <w:sz w:val="24"/>
          <w:szCs w:val="24"/>
        </w:rPr>
        <w:t>md.</w:t>
      </w:r>
      <w:proofErr w:type="spellEnd"/>
      <w:r w:rsidRPr="00C8424F">
        <w:rPr>
          <w:rFonts w:ascii="Times New Roman" w:hAnsi="Times New Roman" w:cs="Times New Roman"/>
          <w:b/>
          <w:bCs/>
          <w:sz w:val="24"/>
          <w:szCs w:val="24"/>
        </w:rPr>
        <w:t xml:space="preserve">) </w:t>
      </w:r>
      <w:r w:rsidRPr="00C8424F">
        <w:rPr>
          <w:rFonts w:ascii="Times New Roman" w:hAnsi="Times New Roman" w:cs="Times New Roman"/>
          <w:b/>
          <w:bCs/>
          <w:sz w:val="24"/>
          <w:szCs w:val="24"/>
          <w:vertAlign w:val="superscript"/>
        </w:rPr>
        <w:t>(6)</w:t>
      </w:r>
    </w:p>
    <w:p w:rsidR="00C8424F" w:rsidRPr="00C8424F" w:rsidRDefault="00C8424F" w:rsidP="00C8424F">
      <w:pPr>
        <w:pStyle w:val="norf3"/>
        <w:spacing w:line="240" w:lineRule="atLeast"/>
        <w:rPr>
          <w:sz w:val="24"/>
          <w:szCs w:val="24"/>
        </w:rPr>
      </w:pPr>
      <w:r w:rsidRPr="00C8424F">
        <w:rPr>
          <w:rFonts w:ascii="Times New Roman" w:hAnsi="Times New Roman" w:cs="Times New Roman"/>
          <w:b/>
          <w:bCs/>
          <w:sz w:val="24"/>
          <w:szCs w:val="24"/>
        </w:rPr>
        <w:t xml:space="preserve">             </w:t>
      </w:r>
      <w:r w:rsidRPr="00C8424F">
        <w:rPr>
          <w:rFonts w:ascii="Times New Roman" w:hAnsi="Times New Roman" w:cs="Times New Roman"/>
          <w:sz w:val="24"/>
          <w:szCs w:val="24"/>
        </w:rPr>
        <w:t xml:space="preserve">Aylıklarını 657 sayılı Devlet Memurları Kanunu, 926 sayılı Türk Silahlı Kuvvetleri Personel Kanunu, 3269 sayılı Uzman Erbaş Kanunu, 3466 sayılı Uzman Jandarma Kanunu, 2802 sayılı </w:t>
      </w:r>
      <w:proofErr w:type="gramStart"/>
      <w:r w:rsidRPr="00C8424F">
        <w:rPr>
          <w:rFonts w:ascii="Times New Roman" w:hAnsi="Times New Roman" w:cs="Times New Roman"/>
          <w:sz w:val="24"/>
          <w:szCs w:val="24"/>
        </w:rPr>
        <w:t>Hakimler</w:t>
      </w:r>
      <w:proofErr w:type="gramEnd"/>
      <w:r w:rsidRPr="00C8424F">
        <w:rPr>
          <w:rFonts w:ascii="Times New Roman" w:hAnsi="Times New Roman" w:cs="Times New Roman"/>
          <w:sz w:val="24"/>
          <w:szCs w:val="24"/>
        </w:rPr>
        <w:t xml:space="preserve"> ve Savcılar Kanunu ve 2914 sayılı Yükseköğretim Personel Kanunu hükümlerine göre almakta olan personelden, (kadro karşılık gösterilmek suretiyle sözleşmeli olarak çalışan personel dahil), Maliye Bakanlığı ve Devlet Personel Başkanlığınca müştereken belirlenen dillerden yine bu iki kurum tarafından tespit olunan esas ve usuller çerçevesinde yapılan yabancı dil seviye tespiti sonunda her bir dil için (A) düzeyinde başarılı olanlara 1500, (B) düzeyinde başarılı olanlara 600, (C) düzeyinde başarılı olanlara 300 gösterge rakamının memur aylık katsayısı ile çarpımı sonucu bulunan tutarı geçmemek üzere Maliye Bakanlığının teklifi ve Başbakan onayı ile belirlenecek miktarlarda aylık yabancı dil tazminatı ödenebilir. </w:t>
      </w:r>
    </w:p>
    <w:p w:rsidR="00C8424F" w:rsidRPr="00C8424F" w:rsidRDefault="00C8424F" w:rsidP="00C8424F">
      <w:pPr>
        <w:pStyle w:val="norf3"/>
        <w:spacing w:line="240" w:lineRule="atLeast"/>
        <w:rPr>
          <w:sz w:val="24"/>
          <w:szCs w:val="24"/>
        </w:rPr>
      </w:pPr>
      <w:r w:rsidRPr="00C8424F">
        <w:rPr>
          <w:rFonts w:ascii="Times New Roman" w:hAnsi="Times New Roman" w:cs="Times New Roman"/>
          <w:sz w:val="24"/>
          <w:szCs w:val="24"/>
        </w:rPr>
        <w:t>             Ödenecek yabancı dil tazminatı farklı diller için farklı miktarlarda belirlenebileceği gibi, personelin görev yeri, kadro unvanı ve sorumluluğuna, bildiği yabancı dil sayısına ve düzeyine göre de farklı miktarlarda belirlenebilir.</w:t>
      </w:r>
    </w:p>
    <w:p w:rsidR="00C8424F" w:rsidRPr="00C8424F" w:rsidRDefault="00C8424F" w:rsidP="00C8424F">
      <w:pPr>
        <w:pStyle w:val="norf3"/>
        <w:spacing w:line="240" w:lineRule="atLeast"/>
        <w:rPr>
          <w:sz w:val="24"/>
          <w:szCs w:val="24"/>
        </w:rPr>
      </w:pPr>
      <w:r w:rsidRPr="00C8424F">
        <w:rPr>
          <w:rFonts w:ascii="Times New Roman" w:hAnsi="Times New Roman" w:cs="Times New Roman"/>
          <w:sz w:val="24"/>
          <w:szCs w:val="24"/>
        </w:rPr>
        <w:t>              </w:t>
      </w:r>
      <w:r w:rsidRPr="00C8424F">
        <w:rPr>
          <w:rFonts w:ascii="Times New Roman" w:hAnsi="Times New Roman" w:cs="Times New Roman"/>
          <w:b/>
          <w:bCs/>
          <w:sz w:val="24"/>
          <w:szCs w:val="24"/>
        </w:rPr>
        <w:t xml:space="preserve">(Mülga üçüncü fıkra: 24/7/2008-5793/47 </w:t>
      </w:r>
      <w:proofErr w:type="spellStart"/>
      <w:r w:rsidRPr="00C8424F">
        <w:rPr>
          <w:rFonts w:ascii="Times New Roman" w:hAnsi="Times New Roman" w:cs="Times New Roman"/>
          <w:b/>
          <w:bCs/>
          <w:sz w:val="24"/>
          <w:szCs w:val="24"/>
        </w:rPr>
        <w:t>md.</w:t>
      </w:r>
      <w:proofErr w:type="spellEnd"/>
      <w:r w:rsidRPr="00C8424F">
        <w:rPr>
          <w:rFonts w:ascii="Times New Roman" w:hAnsi="Times New Roman" w:cs="Times New Roman"/>
          <w:b/>
          <w:bCs/>
          <w:sz w:val="24"/>
          <w:szCs w:val="24"/>
        </w:rPr>
        <w:t>)</w:t>
      </w:r>
    </w:p>
    <w:p w:rsidR="00C8424F" w:rsidRPr="00C8424F" w:rsidRDefault="00C8424F" w:rsidP="00C8424F">
      <w:pPr>
        <w:pStyle w:val="kantab6"/>
        <w:spacing w:line="240" w:lineRule="atLeast"/>
        <w:rPr>
          <w:sz w:val="24"/>
          <w:szCs w:val="24"/>
        </w:rPr>
      </w:pPr>
      <w:r w:rsidRPr="00C8424F">
        <w:rPr>
          <w:rFonts w:ascii="Times New Roman" w:hAnsi="Times New Roman" w:cs="Times New Roman"/>
          <w:b w:val="0"/>
          <w:bCs w:val="0"/>
          <w:sz w:val="24"/>
          <w:szCs w:val="24"/>
        </w:rPr>
        <w:t>–––––––––––––––––––</w:t>
      </w:r>
    </w:p>
    <w:p w:rsidR="00C8424F" w:rsidRPr="00C8424F" w:rsidRDefault="00C8424F" w:rsidP="00C8424F">
      <w:pPr>
        <w:spacing w:line="240" w:lineRule="atLeast"/>
        <w:ind w:left="284" w:hanging="284"/>
        <w:jc w:val="both"/>
        <w:rPr>
          <w:sz w:val="24"/>
          <w:szCs w:val="24"/>
        </w:rPr>
      </w:pPr>
      <w:r w:rsidRPr="00C8424F">
        <w:rPr>
          <w:i/>
          <w:iCs/>
          <w:sz w:val="24"/>
          <w:szCs w:val="24"/>
        </w:rPr>
        <w:t>(1) 27/2/2008 tarihli ve 5745 sayılı Kanunun 1inci maddesiyle bu alt bentte yer alan “(1) ve (2) numaralı alt bentlere” ibaresi  "(1) numaralı alt bende”  olarak değiştirilmiş ve metne işlenmiştir.</w:t>
      </w:r>
    </w:p>
    <w:p w:rsidR="00C8424F" w:rsidRPr="00C8424F" w:rsidRDefault="00C8424F" w:rsidP="00C8424F">
      <w:pPr>
        <w:spacing w:line="240" w:lineRule="atLeast"/>
        <w:ind w:left="142" w:hanging="142"/>
        <w:jc w:val="both"/>
        <w:rPr>
          <w:sz w:val="24"/>
          <w:szCs w:val="24"/>
        </w:rPr>
      </w:pPr>
      <w:r w:rsidRPr="00C8424F">
        <w:rPr>
          <w:i/>
          <w:iCs/>
          <w:sz w:val="24"/>
          <w:szCs w:val="24"/>
        </w:rPr>
        <w:t>(2) 19/6/2010 tarihli ve 6000 sayılı Kanunun 32 nci maddesiyle, bu bentte yer alan "son verilenlere ve" ibaresi "son verilenlere, kendi kusurları olmaksızın sözleşmesi feshedilen veya hizmet sürelerinin bitiminde ayrılan sözleşmeli subay, sözleşmeli astsubay ve uzman erbaşlar ile" şeklinde değiştirilmiş ve metne işlenmiştir.</w:t>
      </w:r>
    </w:p>
    <w:p w:rsidR="00C8424F" w:rsidRPr="00C8424F" w:rsidRDefault="00C8424F" w:rsidP="00C8424F">
      <w:pPr>
        <w:spacing w:line="240" w:lineRule="atLeast"/>
        <w:ind w:left="142" w:hanging="142"/>
        <w:jc w:val="both"/>
        <w:rPr>
          <w:sz w:val="24"/>
          <w:szCs w:val="24"/>
        </w:rPr>
      </w:pPr>
      <w:r w:rsidRPr="00C8424F">
        <w:rPr>
          <w:i/>
          <w:iCs/>
          <w:sz w:val="24"/>
          <w:szCs w:val="24"/>
        </w:rPr>
        <w:t>(3) 25/12/2009 tarihli ve 5944 sayılı 2010 Yılı Merkezi Yönetim Bütçe Kanunun 28 inci maddesiyle, bu maddeye göre yapılacak tazminat ödemesinin  1/1/2010 tarihinden itibaren 750 TL olarak uygulanacağı hüküm altına alınmıştır.</w:t>
      </w:r>
    </w:p>
    <w:p w:rsidR="00C8424F" w:rsidRPr="00C8424F" w:rsidRDefault="00C8424F" w:rsidP="00C8424F">
      <w:pPr>
        <w:spacing w:line="240" w:lineRule="atLeast"/>
        <w:ind w:left="142" w:hanging="142"/>
        <w:jc w:val="both"/>
        <w:rPr>
          <w:sz w:val="24"/>
          <w:szCs w:val="24"/>
        </w:rPr>
      </w:pPr>
      <w:r w:rsidRPr="00C8424F">
        <w:rPr>
          <w:i/>
          <w:iCs/>
          <w:sz w:val="24"/>
          <w:szCs w:val="24"/>
        </w:rPr>
        <w:t xml:space="preserve">(4) 13/2/2011 tarihli ve 6111 sayılı Kanunun 118 inci maddesi ile bu bentte yer alan </w:t>
      </w:r>
      <w:r w:rsidRPr="00C8424F">
        <w:rPr>
          <w:i/>
          <w:iCs/>
          <w:color w:val="000000"/>
          <w:sz w:val="24"/>
          <w:szCs w:val="24"/>
        </w:rPr>
        <w:t>“</w:t>
      </w:r>
      <w:proofErr w:type="spellStart"/>
      <w:r w:rsidRPr="00C8424F">
        <w:rPr>
          <w:i/>
          <w:iCs/>
          <w:color w:val="000000"/>
          <w:sz w:val="24"/>
          <w:szCs w:val="24"/>
        </w:rPr>
        <w:t>beşyüz</w:t>
      </w:r>
      <w:proofErr w:type="spellEnd"/>
      <w:r w:rsidRPr="00C8424F">
        <w:rPr>
          <w:i/>
          <w:iCs/>
          <w:color w:val="000000"/>
          <w:sz w:val="24"/>
          <w:szCs w:val="24"/>
        </w:rPr>
        <w:t xml:space="preserve"> milyon lira” ibaresi “(12.105) gösterge rakamının memur aylık katsayısı ile çarpımı sonucu bulunacak” şeklinde değiştirilmiş ve metne işlenmiştir.</w:t>
      </w:r>
    </w:p>
    <w:p w:rsidR="00C8424F" w:rsidRPr="00C8424F" w:rsidRDefault="00C8424F" w:rsidP="00C8424F">
      <w:pPr>
        <w:spacing w:line="240" w:lineRule="atLeast"/>
        <w:ind w:left="142" w:hanging="142"/>
        <w:jc w:val="both"/>
        <w:rPr>
          <w:sz w:val="24"/>
          <w:szCs w:val="24"/>
        </w:rPr>
      </w:pPr>
      <w:r w:rsidRPr="00C8424F">
        <w:rPr>
          <w:i/>
          <w:iCs/>
          <w:sz w:val="24"/>
          <w:szCs w:val="24"/>
        </w:rPr>
        <w:t>(5) 10/3/2011 tarihli ve 6191 sayılı Kanunun 10 uncu maddesiyle, bu bentte yer alan “sözleşmeli subay, sözleşmeli astsubay ve uzman erbaşlar” ibaresi “sözleşmeli subay, sözleşmeli astsubay, uzman erbaş ve sözleşmeli erbaş ve erler” şeklinde değiştirilmiş ve metne işlenmiştir.</w:t>
      </w:r>
    </w:p>
    <w:p w:rsidR="00C8424F" w:rsidRPr="00C8424F" w:rsidRDefault="00C8424F" w:rsidP="00C8424F">
      <w:pPr>
        <w:pStyle w:val="dipnot5"/>
        <w:spacing w:line="240" w:lineRule="atLeast"/>
        <w:ind w:left="142" w:hanging="142"/>
        <w:rPr>
          <w:sz w:val="24"/>
          <w:szCs w:val="24"/>
        </w:rPr>
      </w:pPr>
      <w:r w:rsidRPr="00C8424F">
        <w:rPr>
          <w:rFonts w:ascii="Times New Roman" w:hAnsi="Times New Roman" w:cs="Times New Roman"/>
          <w:sz w:val="24"/>
          <w:szCs w:val="24"/>
        </w:rPr>
        <w:t>(6)  19/6/2010 tarihli ve 6000 sayılı Kanunun 33 üncü  maddesiyle, bu maddenin birinci fıkrasına "926 sayılı Türk Silahlı Kuvvetleri Personel Kanunu," ibaresinden sonra gelmek üzere "3269 sayılı Uzman Erbaş Kanunu," ibaresi eklenmiş ve metne işlenmiştir.</w:t>
      </w:r>
    </w:p>
    <w:p w:rsidR="00C8424F" w:rsidRPr="00C8424F" w:rsidRDefault="00C8424F" w:rsidP="00C8424F">
      <w:pPr>
        <w:pStyle w:val="dipnot3"/>
        <w:spacing w:line="240" w:lineRule="atLeast"/>
        <w:ind w:left="142" w:hanging="142"/>
        <w:rPr>
          <w:sz w:val="24"/>
          <w:szCs w:val="24"/>
        </w:rPr>
      </w:pPr>
      <w:r w:rsidRPr="00C8424F">
        <w:rPr>
          <w:rFonts w:ascii="Times New Roman" w:hAnsi="Times New Roman" w:cs="Times New Roman"/>
          <w:sz w:val="24"/>
          <w:szCs w:val="24"/>
        </w:rPr>
        <w:t> </w:t>
      </w:r>
    </w:p>
    <w:p w:rsidR="00C8424F" w:rsidRPr="00C8424F" w:rsidRDefault="00C8424F" w:rsidP="00C8424F">
      <w:pPr>
        <w:pStyle w:val="dipnot2"/>
        <w:spacing w:line="240" w:lineRule="atLeast"/>
        <w:ind w:left="142" w:hanging="142"/>
        <w:rPr>
          <w:rFonts w:ascii="Times" w:hAnsi="Times"/>
          <w:i w:val="0"/>
          <w:sz w:val="24"/>
          <w:szCs w:val="24"/>
        </w:rPr>
      </w:pPr>
      <w:r w:rsidRPr="00C8424F">
        <w:rPr>
          <w:rFonts w:ascii="Times New Roman" w:hAnsi="Times New Roman" w:cs="Times New Roman"/>
          <w:i w:val="0"/>
          <w:sz w:val="24"/>
          <w:szCs w:val="24"/>
        </w:rPr>
        <w:t>  </w:t>
      </w:r>
      <w:r w:rsidRPr="00C8424F">
        <w:rPr>
          <w:rFonts w:ascii="Times" w:hAnsi="Times"/>
          <w:i w:val="0"/>
          <w:sz w:val="24"/>
          <w:szCs w:val="24"/>
        </w:rPr>
        <w:tab/>
        <w:t xml:space="preserve">Bu madde uyarınca yapılan sınavlar beş yıl süreyle geçerlidir. Bu sürenin bitiminde sınava girmeyenlerin yabancı dil seviyeleri bir alt düzeye inmiş sayılır, seviyeleri (C) düzeyinde olanların yabancı dil tazminatları kesilir. Bu madde uyarınca yapılan sınavlara diğer mevzuatla yapılan atıflara ilişkin olarak da bu fıkra hükmü </w:t>
      </w:r>
      <w:r w:rsidRPr="00C8424F">
        <w:rPr>
          <w:rFonts w:ascii="Times" w:hAnsi="Times"/>
          <w:i w:val="0"/>
          <w:sz w:val="24"/>
          <w:szCs w:val="24"/>
        </w:rPr>
        <w:t>geçerlidir</w:t>
      </w:r>
      <w:r w:rsidRPr="00C8424F">
        <w:rPr>
          <w:rFonts w:ascii="Times" w:hAnsi="Times"/>
          <w:i w:val="0"/>
          <w:sz w:val="24"/>
          <w:szCs w:val="24"/>
        </w:rPr>
        <w:t>.</w:t>
      </w:r>
    </w:p>
    <w:p w:rsidR="00C8424F" w:rsidRPr="00C8424F" w:rsidRDefault="00C8424F" w:rsidP="00C8424F">
      <w:pPr>
        <w:pStyle w:val="dipnot2"/>
        <w:spacing w:line="240" w:lineRule="atLeast"/>
        <w:ind w:left="142" w:hanging="142"/>
        <w:rPr>
          <w:rFonts w:ascii="Times" w:hAnsi="Times"/>
          <w:i w:val="0"/>
          <w:sz w:val="24"/>
          <w:szCs w:val="24"/>
        </w:rPr>
      </w:pPr>
    </w:p>
    <w:p w:rsidR="00C8424F" w:rsidRPr="00C8424F" w:rsidRDefault="00C8424F" w:rsidP="006F417D">
      <w:pPr>
        <w:widowControl w:val="0"/>
        <w:tabs>
          <w:tab w:val="left" w:pos="567"/>
        </w:tabs>
        <w:adjustRightInd w:val="0"/>
        <w:spacing w:line="240" w:lineRule="exact"/>
        <w:jc w:val="both"/>
        <w:textAlignment w:val="baseline"/>
        <w:rPr>
          <w:rFonts w:ascii="Times" w:hAnsi="Times"/>
          <w:b/>
          <w:sz w:val="24"/>
          <w:szCs w:val="24"/>
        </w:rPr>
      </w:pPr>
      <w:r w:rsidRPr="00C8424F">
        <w:rPr>
          <w:rFonts w:ascii="Times" w:hAnsi="Times"/>
          <w:sz w:val="24"/>
          <w:szCs w:val="24"/>
        </w:rPr>
        <w:tab/>
        <w:t>Yabancı dil tazminatına hak kazanmada ve ödemelerde aylıklara ilişkin hükümler uygulanır ve damga vergisi hariç herhangi bir vergi ve kesintiye tabi tutul</w:t>
      </w:r>
      <w:r w:rsidR="006F417D">
        <w:rPr>
          <w:rFonts w:ascii="Times" w:hAnsi="Times"/>
          <w:sz w:val="24"/>
          <w:szCs w:val="24"/>
        </w:rPr>
        <w:t>m</w:t>
      </w:r>
      <w:r w:rsidRPr="00C8424F">
        <w:rPr>
          <w:rFonts w:ascii="Times" w:hAnsi="Times"/>
          <w:sz w:val="24"/>
          <w:szCs w:val="24"/>
        </w:rPr>
        <w:t xml:space="preserve">az. </w:t>
      </w:r>
      <w:bookmarkStart w:id="0" w:name="_GoBack"/>
      <w:bookmarkEnd w:id="0"/>
    </w:p>
    <w:p w:rsidR="00C8424F" w:rsidRPr="00C8424F" w:rsidRDefault="00C8424F" w:rsidP="00C8424F">
      <w:pPr>
        <w:widowControl w:val="0"/>
        <w:tabs>
          <w:tab w:val="center" w:pos="1733"/>
          <w:tab w:val="center" w:pos="3693"/>
        </w:tabs>
        <w:adjustRightInd w:val="0"/>
        <w:spacing w:line="240" w:lineRule="exact"/>
        <w:jc w:val="center"/>
        <w:textAlignment w:val="baseline"/>
        <w:rPr>
          <w:rFonts w:ascii="Times" w:hAnsi="Times"/>
          <w:b/>
          <w:sz w:val="24"/>
          <w:szCs w:val="24"/>
        </w:rPr>
      </w:pPr>
    </w:p>
    <w:p w:rsidR="00C8424F" w:rsidRPr="00C8424F" w:rsidRDefault="00C8424F" w:rsidP="00C8424F">
      <w:pPr>
        <w:widowControl w:val="0"/>
        <w:tabs>
          <w:tab w:val="center" w:pos="1733"/>
          <w:tab w:val="center" w:pos="3693"/>
        </w:tabs>
        <w:adjustRightInd w:val="0"/>
        <w:spacing w:line="240" w:lineRule="exact"/>
        <w:jc w:val="center"/>
        <w:textAlignment w:val="baseline"/>
        <w:rPr>
          <w:rFonts w:ascii="Times" w:hAnsi="Times"/>
          <w:b/>
          <w:sz w:val="24"/>
          <w:szCs w:val="24"/>
        </w:rPr>
      </w:pPr>
    </w:p>
    <w:p w:rsidR="00C8424F" w:rsidRPr="00C8424F" w:rsidRDefault="00C8424F" w:rsidP="00C8424F">
      <w:pPr>
        <w:widowControl w:val="0"/>
        <w:tabs>
          <w:tab w:val="center" w:pos="1733"/>
          <w:tab w:val="center" w:pos="3693"/>
        </w:tabs>
        <w:adjustRightInd w:val="0"/>
        <w:spacing w:line="240" w:lineRule="exact"/>
        <w:jc w:val="center"/>
        <w:textAlignment w:val="baseline"/>
        <w:rPr>
          <w:rFonts w:ascii="Times" w:hAnsi="Times"/>
          <w:b/>
          <w:sz w:val="24"/>
          <w:szCs w:val="24"/>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C8424F" w:rsidRPr="00EF0B2D" w:rsidRDefault="00C8424F" w:rsidP="00C8424F">
      <w:pPr>
        <w:widowControl w:val="0"/>
        <w:tabs>
          <w:tab w:val="center" w:pos="1733"/>
          <w:tab w:val="center" w:pos="3693"/>
        </w:tabs>
        <w:adjustRightInd w:val="0"/>
        <w:spacing w:line="240" w:lineRule="exact"/>
        <w:jc w:val="center"/>
        <w:textAlignment w:val="baseline"/>
        <w:rPr>
          <w:rFonts w:ascii="Times" w:hAnsi="Times"/>
          <w:b/>
        </w:rPr>
      </w:pPr>
    </w:p>
    <w:p w:rsidR="001A63E2" w:rsidRDefault="001A63E2" w:rsidP="00C8424F"/>
    <w:sectPr w:rsidR="001A63E2" w:rsidSect="00C84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22"/>
    <w:rsid w:val="001A63E2"/>
    <w:rsid w:val="006F417D"/>
    <w:rsid w:val="009D1722"/>
    <w:rsid w:val="00C84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BA6D"/>
  <w15:chartTrackingRefBased/>
  <w15:docId w15:val="{7EC1F2CC-018F-4239-ADCB-242B993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C8424F"/>
    <w:pPr>
      <w:spacing w:after="0" w:line="240" w:lineRule="auto"/>
      <w:ind w:left="5953" w:hanging="5953"/>
      <w:jc w:val="both"/>
    </w:pPr>
    <w:rPr>
      <w:rFonts w:ascii="Times" w:eastAsia="Arial Unicode MS" w:hAnsi="Times" w:cs="Times"/>
      <w:sz w:val="18"/>
      <w:szCs w:val="18"/>
      <w:lang w:eastAsia="tr-TR"/>
    </w:rPr>
  </w:style>
  <w:style w:type="paragraph" w:customStyle="1" w:styleId="baslk">
    <w:name w:val="baslk"/>
    <w:basedOn w:val="Normal"/>
    <w:rsid w:val="00C8424F"/>
    <w:pPr>
      <w:spacing w:after="0" w:line="240" w:lineRule="auto"/>
      <w:jc w:val="both"/>
    </w:pPr>
    <w:rPr>
      <w:rFonts w:ascii="New York" w:eastAsia="Arial Unicode MS" w:hAnsi="New York" w:cs="Arial Unicode MS"/>
      <w:b/>
      <w:bCs/>
      <w:sz w:val="24"/>
      <w:szCs w:val="24"/>
      <w:lang w:eastAsia="tr-TR"/>
    </w:rPr>
  </w:style>
  <w:style w:type="paragraph" w:customStyle="1" w:styleId="kantab">
    <w:name w:val="kantab"/>
    <w:basedOn w:val="Normal"/>
    <w:rsid w:val="00C8424F"/>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C8424F"/>
    <w:pPr>
      <w:spacing w:after="0" w:line="240" w:lineRule="auto"/>
      <w:jc w:val="both"/>
    </w:pPr>
    <w:rPr>
      <w:rFonts w:ascii="New York" w:eastAsia="Arial Unicode MS" w:hAnsi="New York" w:cs="Arial Unicode MS"/>
      <w:sz w:val="18"/>
      <w:szCs w:val="18"/>
      <w:lang w:eastAsia="tr-TR"/>
    </w:rPr>
  </w:style>
  <w:style w:type="paragraph" w:customStyle="1" w:styleId="norf">
    <w:name w:val="norf"/>
    <w:basedOn w:val="Normal"/>
    <w:rsid w:val="00C8424F"/>
    <w:pPr>
      <w:spacing w:after="0" w:line="360" w:lineRule="atLeast"/>
      <w:jc w:val="both"/>
    </w:pPr>
    <w:rPr>
      <w:rFonts w:ascii="New York" w:eastAsia="Arial Unicode MS" w:hAnsi="New York" w:cs="Arial Unicode MS"/>
      <w:sz w:val="18"/>
      <w:szCs w:val="18"/>
      <w:lang w:eastAsia="tr-TR"/>
    </w:rPr>
  </w:style>
  <w:style w:type="paragraph" w:customStyle="1" w:styleId="dipnot1">
    <w:name w:val="dipnot1"/>
    <w:basedOn w:val="Normal"/>
    <w:rsid w:val="00C8424F"/>
    <w:pPr>
      <w:spacing w:after="0" w:line="360" w:lineRule="atLeast"/>
      <w:ind w:left="369" w:hanging="369"/>
      <w:jc w:val="both"/>
    </w:pPr>
    <w:rPr>
      <w:rFonts w:ascii="New York" w:eastAsia="Arial Unicode MS" w:hAnsi="New York" w:cs="Arial Unicode MS"/>
      <w:i/>
      <w:iCs/>
      <w:sz w:val="16"/>
      <w:szCs w:val="16"/>
      <w:lang w:eastAsia="tr-TR"/>
    </w:rPr>
  </w:style>
  <w:style w:type="paragraph" w:customStyle="1" w:styleId="dipnot2">
    <w:name w:val="dipnot2"/>
    <w:basedOn w:val="Normal"/>
    <w:rsid w:val="00C8424F"/>
    <w:pPr>
      <w:spacing w:after="0" w:line="360" w:lineRule="atLeast"/>
      <w:ind w:left="369" w:hanging="369"/>
      <w:jc w:val="both"/>
    </w:pPr>
    <w:rPr>
      <w:rFonts w:ascii="New York" w:eastAsia="Arial Unicode MS" w:hAnsi="New York" w:cs="Arial Unicode MS"/>
      <w:i/>
      <w:iCs/>
      <w:sz w:val="16"/>
      <w:szCs w:val="16"/>
      <w:lang w:eastAsia="tr-TR"/>
    </w:rPr>
  </w:style>
  <w:style w:type="paragraph" w:customStyle="1" w:styleId="dipnot3">
    <w:name w:val="dipnot3"/>
    <w:basedOn w:val="Normal"/>
    <w:rsid w:val="00C8424F"/>
    <w:pPr>
      <w:spacing w:after="0" w:line="360" w:lineRule="atLeast"/>
      <w:ind w:left="369" w:hanging="369"/>
      <w:jc w:val="both"/>
    </w:pPr>
    <w:rPr>
      <w:rFonts w:ascii="New York" w:eastAsia="Arial Unicode MS" w:hAnsi="New York" w:cs="Arial Unicode MS"/>
      <w:i/>
      <w:iCs/>
      <w:sz w:val="16"/>
      <w:szCs w:val="16"/>
      <w:lang w:eastAsia="tr-TR"/>
    </w:rPr>
  </w:style>
  <w:style w:type="paragraph" w:customStyle="1" w:styleId="kantab6">
    <w:name w:val="kantab6"/>
    <w:basedOn w:val="Normal"/>
    <w:rsid w:val="00C8424F"/>
    <w:pPr>
      <w:spacing w:after="0" w:line="360" w:lineRule="atLeast"/>
      <w:jc w:val="both"/>
    </w:pPr>
    <w:rPr>
      <w:rFonts w:ascii="New York" w:eastAsia="Arial Unicode MS" w:hAnsi="New York" w:cs="Arial Unicode MS"/>
      <w:b/>
      <w:bCs/>
      <w:lang w:eastAsia="tr-TR"/>
    </w:rPr>
  </w:style>
  <w:style w:type="paragraph" w:customStyle="1" w:styleId="norf3">
    <w:name w:val="norf3"/>
    <w:basedOn w:val="Normal"/>
    <w:rsid w:val="00C8424F"/>
    <w:pPr>
      <w:spacing w:after="0" w:line="360" w:lineRule="atLeast"/>
      <w:jc w:val="both"/>
    </w:pPr>
    <w:rPr>
      <w:rFonts w:ascii="New York" w:eastAsia="Arial Unicode MS" w:hAnsi="New York" w:cs="Arial Unicode MS"/>
      <w:sz w:val="18"/>
      <w:szCs w:val="18"/>
      <w:lang w:eastAsia="tr-TR"/>
    </w:rPr>
  </w:style>
  <w:style w:type="paragraph" w:customStyle="1" w:styleId="dipnot5">
    <w:name w:val="dipnot5"/>
    <w:basedOn w:val="Normal"/>
    <w:rsid w:val="00C8424F"/>
    <w:pPr>
      <w:spacing w:after="0" w:line="360" w:lineRule="atLeast"/>
      <w:ind w:left="369" w:hanging="369"/>
      <w:jc w:val="both"/>
    </w:pPr>
    <w:rPr>
      <w:rFonts w:ascii="New York" w:eastAsia="Arial Unicode MS" w:hAnsi="New York" w:cs="Arial Unicode MS"/>
      <w:i/>
      <w:i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dc:creator>
  <cp:keywords/>
  <dc:description/>
  <cp:lastModifiedBy>TURGAY</cp:lastModifiedBy>
  <cp:revision>3</cp:revision>
  <dcterms:created xsi:type="dcterms:W3CDTF">2017-01-16T08:07:00Z</dcterms:created>
  <dcterms:modified xsi:type="dcterms:W3CDTF">2017-01-16T08:14:00Z</dcterms:modified>
</cp:coreProperties>
</file>