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D8" w:rsidRPr="00D349C2" w:rsidRDefault="006D765B">
      <w:pPr>
        <w:pStyle w:val="Gvdemetni0"/>
        <w:spacing w:after="0" w:line="240" w:lineRule="auto"/>
        <w:rPr>
          <w:rFonts w:ascii="Verdana" w:hAnsi="Verdana"/>
          <w:sz w:val="20"/>
          <w:szCs w:val="20"/>
        </w:rPr>
      </w:pPr>
      <w:r w:rsidRPr="00D349C2">
        <w:rPr>
          <w:rFonts w:ascii="Verdana" w:hAnsi="Verdana"/>
          <w:b/>
          <w:bCs/>
          <w:sz w:val="20"/>
          <w:szCs w:val="20"/>
        </w:rPr>
        <w:t>DANIŞTAY 12. Daire</w:t>
      </w:r>
    </w:p>
    <w:p w:rsidR="00A41FD8" w:rsidRPr="00D349C2" w:rsidRDefault="006D765B">
      <w:pPr>
        <w:pStyle w:val="Gvdemetni0"/>
        <w:spacing w:after="0" w:line="240" w:lineRule="auto"/>
        <w:rPr>
          <w:rFonts w:ascii="Verdana" w:hAnsi="Verdana"/>
          <w:sz w:val="20"/>
          <w:szCs w:val="20"/>
        </w:rPr>
      </w:pPr>
      <w:r w:rsidRPr="00D349C2">
        <w:rPr>
          <w:rFonts w:ascii="Verdana" w:hAnsi="Verdana"/>
          <w:b/>
          <w:bCs/>
          <w:sz w:val="20"/>
          <w:szCs w:val="20"/>
        </w:rPr>
        <w:t xml:space="preserve">ESAS: </w:t>
      </w:r>
      <w:bookmarkStart w:id="0" w:name="_GoBack"/>
      <w:r w:rsidRPr="00D349C2">
        <w:rPr>
          <w:rFonts w:ascii="Verdana" w:hAnsi="Verdana"/>
          <w:b/>
          <w:bCs/>
          <w:sz w:val="20"/>
          <w:szCs w:val="20"/>
        </w:rPr>
        <w:t>2010/5479</w:t>
      </w:r>
      <w:bookmarkEnd w:id="0"/>
    </w:p>
    <w:p w:rsidR="00A41FD8" w:rsidRPr="00D349C2" w:rsidRDefault="006D765B">
      <w:pPr>
        <w:pStyle w:val="Gvdemetni0"/>
        <w:spacing w:line="240" w:lineRule="auto"/>
        <w:rPr>
          <w:rFonts w:ascii="Verdana" w:hAnsi="Verdana"/>
          <w:sz w:val="20"/>
          <w:szCs w:val="20"/>
        </w:rPr>
      </w:pPr>
      <w:r w:rsidRPr="00D349C2">
        <w:rPr>
          <w:rFonts w:ascii="Verdana" w:hAnsi="Verdana"/>
          <w:b/>
          <w:bCs/>
          <w:sz w:val="20"/>
          <w:szCs w:val="20"/>
        </w:rPr>
        <w:t>KARAR: 2013/6665</w:t>
      </w:r>
    </w:p>
    <w:p w:rsidR="00A41FD8" w:rsidRPr="00D349C2" w:rsidRDefault="006D765B">
      <w:pPr>
        <w:pStyle w:val="Gvdemetni0"/>
        <w:rPr>
          <w:rFonts w:ascii="Verdana" w:hAnsi="Verdana"/>
          <w:sz w:val="20"/>
          <w:szCs w:val="20"/>
        </w:rPr>
      </w:pPr>
      <w:r w:rsidRPr="00D349C2">
        <w:rPr>
          <w:rFonts w:ascii="Verdana" w:hAnsi="Verdana"/>
          <w:b/>
          <w:bCs/>
          <w:sz w:val="20"/>
          <w:szCs w:val="20"/>
        </w:rPr>
        <w:t>DİSİPLİN SORUŞTURMASINDA MUHAKKİKİN UZMANLIĞI ŞARTI OKUL MÜDÜRÜ SORUŞTURMASINDA GÖREVLENDİRİLEN MUHAKKİK</w:t>
      </w:r>
    </w:p>
    <w:p w:rsidR="00A41FD8" w:rsidRPr="00D349C2" w:rsidRDefault="006D765B">
      <w:pPr>
        <w:pStyle w:val="Gvdemetni0"/>
        <w:rPr>
          <w:rFonts w:ascii="Verdana" w:hAnsi="Verdana"/>
          <w:b/>
          <w:sz w:val="20"/>
          <w:szCs w:val="20"/>
        </w:rPr>
      </w:pPr>
      <w:r w:rsidRPr="00D349C2">
        <w:rPr>
          <w:rFonts w:ascii="Verdana" w:hAnsi="Verdana"/>
          <w:b/>
          <w:sz w:val="20"/>
          <w:szCs w:val="20"/>
        </w:rPr>
        <w:t>TÜRK MİLLETİ ADINA</w:t>
      </w:r>
    </w:p>
    <w:p w:rsidR="00A41FD8" w:rsidRPr="00D349C2" w:rsidRDefault="006D765B">
      <w:pPr>
        <w:pStyle w:val="Gvdemetni0"/>
        <w:rPr>
          <w:rFonts w:ascii="Verdana" w:hAnsi="Verdana"/>
          <w:sz w:val="20"/>
          <w:szCs w:val="20"/>
        </w:rPr>
      </w:pPr>
      <w:r w:rsidRPr="00D349C2">
        <w:rPr>
          <w:rFonts w:ascii="Verdana" w:hAnsi="Verdana"/>
          <w:sz w:val="20"/>
          <w:szCs w:val="20"/>
        </w:rPr>
        <w:t xml:space="preserve">Hüküm veren Danıştay </w:t>
      </w:r>
      <w:proofErr w:type="spellStart"/>
      <w:r w:rsidRPr="00D349C2">
        <w:rPr>
          <w:rFonts w:ascii="Verdana" w:hAnsi="Verdana"/>
          <w:sz w:val="20"/>
          <w:szCs w:val="20"/>
        </w:rPr>
        <w:t>Onikinci</w:t>
      </w:r>
      <w:proofErr w:type="spellEnd"/>
      <w:r w:rsidRPr="00D349C2">
        <w:rPr>
          <w:rFonts w:ascii="Verdana" w:hAnsi="Verdana"/>
          <w:sz w:val="20"/>
          <w:szCs w:val="20"/>
        </w:rPr>
        <w:t xml:space="preserve"> Dairesince işin gereği düşünüldü:</w:t>
      </w:r>
    </w:p>
    <w:p w:rsidR="00A41FD8" w:rsidRPr="00D349C2" w:rsidRDefault="006D765B">
      <w:pPr>
        <w:pStyle w:val="Gvdemetni0"/>
        <w:rPr>
          <w:rFonts w:ascii="Verdana" w:hAnsi="Verdana"/>
          <w:sz w:val="20"/>
          <w:szCs w:val="20"/>
        </w:rPr>
      </w:pPr>
      <w:r w:rsidRPr="00D349C2">
        <w:rPr>
          <w:rFonts w:ascii="Verdana" w:hAnsi="Verdana"/>
          <w:sz w:val="20"/>
          <w:szCs w:val="20"/>
        </w:rPr>
        <w:t xml:space="preserve">Dava; ...İli, </w:t>
      </w:r>
      <w:proofErr w:type="gramStart"/>
      <w:r w:rsidRPr="00D349C2">
        <w:rPr>
          <w:rFonts w:ascii="Verdana" w:hAnsi="Verdana"/>
          <w:sz w:val="20"/>
          <w:szCs w:val="20"/>
        </w:rPr>
        <w:t>Merkez ...İlçesi</w:t>
      </w:r>
      <w:proofErr w:type="gramEnd"/>
      <w:r w:rsidRPr="00D349C2">
        <w:rPr>
          <w:rFonts w:ascii="Verdana" w:hAnsi="Verdana"/>
          <w:sz w:val="20"/>
          <w:szCs w:val="20"/>
        </w:rPr>
        <w:t>, ... Lisesi müdürü olan davacının yangına karşı önlem planı hazırlamadığından bahisle 1702 sayılı Kanun'un 20/1 maddesi uyarınca ihtar cezasıyla tecziyesine ilişkin 13.03.2009 tarih ve 1187 sayılı işlemin iptali istemiyle açılmıştır.</w:t>
      </w:r>
    </w:p>
    <w:p w:rsidR="00A41FD8" w:rsidRPr="00D349C2" w:rsidRDefault="006D765B">
      <w:pPr>
        <w:pStyle w:val="Gvdemetni0"/>
        <w:rPr>
          <w:rFonts w:ascii="Verdana" w:hAnsi="Verdana"/>
          <w:sz w:val="20"/>
          <w:szCs w:val="20"/>
        </w:rPr>
      </w:pPr>
      <w:r w:rsidRPr="00D349C2">
        <w:rPr>
          <w:rFonts w:ascii="Verdana" w:hAnsi="Verdana"/>
          <w:sz w:val="20"/>
          <w:szCs w:val="20"/>
        </w:rPr>
        <w:t>İdare</w:t>
      </w:r>
      <w:r w:rsidRPr="00D349C2">
        <w:rPr>
          <w:rFonts w:ascii="Verdana" w:hAnsi="Verdana"/>
          <w:sz w:val="20"/>
          <w:szCs w:val="20"/>
        </w:rPr>
        <w:t xml:space="preserve"> Mahkemesince; davacının müdürü olduğu okulda yangına karşı önlem planı hazırlanmadığının sabit olduğu, buna göre vazifesinin ifasında kusurlu olan davacının eylemine uygun disiplin cezasıyla tecziyesine ilişkin işlemde hukuka aykırılık bulunmadığı gerekçe</w:t>
      </w:r>
      <w:r w:rsidRPr="00D349C2">
        <w:rPr>
          <w:rFonts w:ascii="Verdana" w:hAnsi="Verdana"/>
          <w:sz w:val="20"/>
          <w:szCs w:val="20"/>
        </w:rPr>
        <w:t>siyle davanın reddine karar verilmiştir.</w:t>
      </w:r>
    </w:p>
    <w:p w:rsidR="00A41FD8" w:rsidRPr="00D349C2" w:rsidRDefault="006D765B">
      <w:pPr>
        <w:pStyle w:val="Gvdemetni0"/>
        <w:rPr>
          <w:rFonts w:ascii="Verdana" w:hAnsi="Verdana"/>
          <w:sz w:val="20"/>
          <w:szCs w:val="20"/>
        </w:rPr>
      </w:pPr>
      <w:r w:rsidRPr="00D349C2">
        <w:rPr>
          <w:rFonts w:ascii="Verdana" w:hAnsi="Verdana"/>
          <w:sz w:val="20"/>
          <w:szCs w:val="20"/>
        </w:rPr>
        <w:t xml:space="preserve">Davacı tarafından, Mahkeme kararının hukuka aykırı olduğu ileri sürülerek </w:t>
      </w:r>
      <w:proofErr w:type="spellStart"/>
      <w:r w:rsidRPr="00D349C2">
        <w:rPr>
          <w:rFonts w:ascii="Verdana" w:hAnsi="Verdana"/>
          <w:sz w:val="20"/>
          <w:szCs w:val="20"/>
        </w:rPr>
        <w:t>temyizen</w:t>
      </w:r>
      <w:proofErr w:type="spellEnd"/>
      <w:r w:rsidRPr="00D349C2">
        <w:rPr>
          <w:rFonts w:ascii="Verdana" w:hAnsi="Verdana"/>
          <w:sz w:val="20"/>
          <w:szCs w:val="20"/>
        </w:rPr>
        <w:t xml:space="preserve"> incelenip bozulması istenilmektedir.</w:t>
      </w:r>
    </w:p>
    <w:p w:rsidR="00A41FD8" w:rsidRPr="00D349C2" w:rsidRDefault="006D765B">
      <w:pPr>
        <w:pStyle w:val="Gvdemetni0"/>
        <w:rPr>
          <w:rFonts w:ascii="Verdana" w:hAnsi="Verdana"/>
          <w:sz w:val="20"/>
          <w:szCs w:val="20"/>
        </w:rPr>
      </w:pPr>
      <w:r w:rsidRPr="00D349C2">
        <w:rPr>
          <w:rFonts w:ascii="Verdana" w:hAnsi="Verdana"/>
          <w:sz w:val="20"/>
          <w:szCs w:val="20"/>
        </w:rPr>
        <w:t>1702 sayılı İlk ve Orta Tedrisat Muallimlerinin Terfi ve Tecziyeleri Hakkında Kanun'un 20. madd</w:t>
      </w:r>
      <w:r w:rsidRPr="00D349C2">
        <w:rPr>
          <w:rFonts w:ascii="Verdana" w:hAnsi="Verdana"/>
          <w:sz w:val="20"/>
          <w:szCs w:val="20"/>
        </w:rPr>
        <w:t>esinin 1. bendinde; "Talimatname ve emirler mucibince yapılması lâzım olan vazifelerin ifasında kusur etmek" eyleminin tespiti halinde memurun ihtar cezası ile cezalandırılacağı kurala bağlanmıştır.</w:t>
      </w:r>
    </w:p>
    <w:p w:rsidR="00A41FD8" w:rsidRPr="00D349C2" w:rsidRDefault="006D765B">
      <w:pPr>
        <w:pStyle w:val="Gvdemetni0"/>
        <w:rPr>
          <w:rFonts w:ascii="Verdana" w:hAnsi="Verdana"/>
          <w:sz w:val="20"/>
          <w:szCs w:val="20"/>
        </w:rPr>
      </w:pPr>
      <w:r w:rsidRPr="00D349C2">
        <w:rPr>
          <w:rFonts w:ascii="Verdana" w:hAnsi="Verdana"/>
          <w:sz w:val="20"/>
          <w:szCs w:val="20"/>
        </w:rPr>
        <w:t>5442 sayılı İl İdaresi Kanunu'nun 31. maddesinin (Ç) bend</w:t>
      </w:r>
      <w:r w:rsidRPr="00D349C2">
        <w:rPr>
          <w:rFonts w:ascii="Verdana" w:hAnsi="Verdana"/>
          <w:sz w:val="20"/>
          <w:szCs w:val="20"/>
        </w:rPr>
        <w:t xml:space="preserve">inde; ''Kaymakamlar, dördüncü maddenin son fıkrasında belirtilen daire ve müesseseler dışında kalan bütün Devlet daire ve müessese ve işletmelerini ve özel işyerlerini, özel idare, belediye ve köy idareleriyle bunlara bağlı tekmil müesseseleri denetler ve </w:t>
      </w:r>
      <w:r w:rsidRPr="00D349C2">
        <w:rPr>
          <w:rFonts w:ascii="Verdana" w:hAnsi="Verdana"/>
          <w:sz w:val="20"/>
          <w:szCs w:val="20"/>
        </w:rPr>
        <w:t xml:space="preserve">teftiş ederler. Bu teftiş ve denetlemeyi bizzat veya idare şube başkanları veya validen talep edeceği Bakanlık veya tüzelkişiliği haiz genel müdürlük müfettişleri </w:t>
      </w:r>
      <w:proofErr w:type="spellStart"/>
      <w:r w:rsidRPr="00D349C2">
        <w:rPr>
          <w:rFonts w:ascii="Verdana" w:hAnsi="Verdana"/>
          <w:sz w:val="20"/>
          <w:szCs w:val="20"/>
        </w:rPr>
        <w:t>vasıtasiyle</w:t>
      </w:r>
      <w:proofErr w:type="spellEnd"/>
      <w:r w:rsidRPr="00D349C2">
        <w:rPr>
          <w:rFonts w:ascii="Verdana" w:hAnsi="Verdana"/>
          <w:sz w:val="20"/>
          <w:szCs w:val="20"/>
        </w:rPr>
        <w:t xml:space="preserve"> ortaokul veya bu dereceli öğretim müesseselerini de bizzat veya ilgili müfettişle</w:t>
      </w:r>
      <w:r w:rsidRPr="00D349C2">
        <w:rPr>
          <w:rFonts w:ascii="Verdana" w:hAnsi="Verdana"/>
          <w:sz w:val="20"/>
          <w:szCs w:val="20"/>
        </w:rPr>
        <w:t>ri marifetiyle denetler." hükmü öngörülmüştür.</w:t>
      </w:r>
    </w:p>
    <w:p w:rsidR="00A41FD8" w:rsidRPr="00D349C2" w:rsidRDefault="006D765B">
      <w:pPr>
        <w:pStyle w:val="Gvdemetni0"/>
        <w:spacing w:after="300"/>
        <w:rPr>
          <w:rFonts w:ascii="Verdana" w:hAnsi="Verdana"/>
          <w:sz w:val="20"/>
          <w:szCs w:val="20"/>
        </w:rPr>
      </w:pPr>
      <w:r w:rsidRPr="00D349C2">
        <w:rPr>
          <w:rFonts w:ascii="Verdana" w:hAnsi="Verdana"/>
          <w:sz w:val="20"/>
          <w:szCs w:val="20"/>
        </w:rPr>
        <w:t xml:space="preserve">Dava dosyasının incelenmesinden, . Lisesi Müdürü olarak görev yapan davacının, yangına karşı önlem planı hazırlamadığı hususları ile ilgili </w:t>
      </w:r>
      <w:proofErr w:type="gramStart"/>
      <w:r w:rsidRPr="00D349C2">
        <w:rPr>
          <w:rFonts w:ascii="Verdana" w:hAnsi="Verdana"/>
          <w:sz w:val="20"/>
          <w:szCs w:val="20"/>
        </w:rPr>
        <w:t>olarak ...Kaymakamlığının</w:t>
      </w:r>
      <w:proofErr w:type="gramEnd"/>
      <w:r w:rsidRPr="00D349C2">
        <w:rPr>
          <w:rFonts w:ascii="Verdana" w:hAnsi="Verdana"/>
          <w:sz w:val="20"/>
          <w:szCs w:val="20"/>
        </w:rPr>
        <w:t xml:space="preserve"> 19.12.2008 gün ve 1525 -1526 sayılı soruştu</w:t>
      </w:r>
      <w:r w:rsidRPr="00D349C2">
        <w:rPr>
          <w:rFonts w:ascii="Verdana" w:hAnsi="Verdana"/>
          <w:sz w:val="20"/>
          <w:szCs w:val="20"/>
        </w:rPr>
        <w:t xml:space="preserve">rma emri ile muhakkik olarak görevlendirilen ...Lisesi Müdürü ... ve </w:t>
      </w:r>
      <w:proofErr w:type="spellStart"/>
      <w:r w:rsidRPr="00D349C2">
        <w:rPr>
          <w:rFonts w:ascii="Verdana" w:hAnsi="Verdana"/>
          <w:sz w:val="20"/>
          <w:szCs w:val="20"/>
        </w:rPr>
        <w:t>Malmüdürlüğü</w:t>
      </w:r>
      <w:proofErr w:type="spellEnd"/>
      <w:r w:rsidRPr="00D349C2">
        <w:rPr>
          <w:rFonts w:ascii="Verdana" w:hAnsi="Verdana"/>
          <w:sz w:val="20"/>
          <w:szCs w:val="20"/>
        </w:rPr>
        <w:t xml:space="preserve"> Muhasebe </w:t>
      </w:r>
      <w:proofErr w:type="gramStart"/>
      <w:r w:rsidRPr="00D349C2">
        <w:rPr>
          <w:rFonts w:ascii="Verdana" w:hAnsi="Verdana"/>
          <w:sz w:val="20"/>
          <w:szCs w:val="20"/>
        </w:rPr>
        <w:t>Şefi ...</w:t>
      </w:r>
      <w:proofErr w:type="gramEnd"/>
      <w:r w:rsidRPr="00D349C2">
        <w:rPr>
          <w:rFonts w:ascii="Verdana" w:hAnsi="Verdana"/>
          <w:sz w:val="20"/>
          <w:szCs w:val="20"/>
        </w:rPr>
        <w:t xml:space="preserve"> </w:t>
      </w:r>
      <w:proofErr w:type="gramStart"/>
      <w:r w:rsidRPr="00D349C2">
        <w:rPr>
          <w:rFonts w:ascii="Verdana" w:hAnsi="Verdana"/>
          <w:sz w:val="20"/>
          <w:szCs w:val="20"/>
        </w:rPr>
        <w:t>tarafından</w:t>
      </w:r>
      <w:proofErr w:type="gramEnd"/>
      <w:r w:rsidRPr="00D349C2">
        <w:rPr>
          <w:rFonts w:ascii="Verdana" w:hAnsi="Verdana"/>
          <w:sz w:val="20"/>
          <w:szCs w:val="20"/>
        </w:rPr>
        <w:t xml:space="preserve"> yürütülen disiplin soruşturması neticesinde okulun genel temizliğinin yeterli ve düzenli olarak yapılmadığı, okulun yangın talimatnamesinin denet</w:t>
      </w:r>
      <w:r w:rsidRPr="00D349C2">
        <w:rPr>
          <w:rFonts w:ascii="Verdana" w:hAnsi="Verdana"/>
          <w:sz w:val="20"/>
          <w:szCs w:val="20"/>
        </w:rPr>
        <w:t xml:space="preserve">im esnasında bulunmadığı, okul aile birliği kararı alınmadan mal ve hizmet alımı yapıldığı, mal ve hizmet alımları taşınır işlem fişi olmadan gerçekleştirildiği ve </w:t>
      </w:r>
      <w:proofErr w:type="spellStart"/>
      <w:r w:rsidRPr="00D349C2">
        <w:rPr>
          <w:rFonts w:ascii="Verdana" w:hAnsi="Verdana"/>
          <w:sz w:val="20"/>
          <w:szCs w:val="20"/>
        </w:rPr>
        <w:t>Malmüdürlüğüne</w:t>
      </w:r>
      <w:proofErr w:type="spellEnd"/>
      <w:r w:rsidRPr="00D349C2">
        <w:rPr>
          <w:rFonts w:ascii="Verdana" w:hAnsi="Verdana"/>
          <w:sz w:val="20"/>
          <w:szCs w:val="20"/>
        </w:rPr>
        <w:t xml:space="preserve"> eksik fiş teslim edildiği hususları sabit bulunarak her bir eylem için 1702 s</w:t>
      </w:r>
      <w:r w:rsidRPr="00D349C2">
        <w:rPr>
          <w:rFonts w:ascii="Verdana" w:hAnsi="Verdana"/>
          <w:sz w:val="20"/>
          <w:szCs w:val="20"/>
        </w:rPr>
        <w:t>ayılı Yasanın 20/1 maddesine aykırılıktan ayrı ayrı ihtar cezası uygulanması teklifinde bulunulduğu, yangına karşı önlem planı hazırlanmadığından bahisle verilen ihtar cezasının iptali için görülmekte olan davanın açıldığı anlaşılmaktadır.</w:t>
      </w:r>
    </w:p>
    <w:p w:rsidR="00A41FD8" w:rsidRPr="00D349C2" w:rsidRDefault="006D765B">
      <w:pPr>
        <w:pStyle w:val="Gvdemetni0"/>
        <w:spacing w:after="300"/>
        <w:rPr>
          <w:rFonts w:ascii="Verdana" w:hAnsi="Verdana"/>
          <w:sz w:val="20"/>
          <w:szCs w:val="20"/>
        </w:rPr>
      </w:pPr>
      <w:r w:rsidRPr="00D349C2">
        <w:rPr>
          <w:rFonts w:ascii="Verdana" w:hAnsi="Verdana"/>
          <w:b/>
          <w:bCs/>
          <w:sz w:val="20"/>
          <w:szCs w:val="20"/>
          <w:u w:val="single"/>
        </w:rPr>
        <w:lastRenderedPageBreak/>
        <w:t>657 sayılı Devle</w:t>
      </w:r>
      <w:r w:rsidRPr="00D349C2">
        <w:rPr>
          <w:rFonts w:ascii="Verdana" w:hAnsi="Verdana"/>
          <w:b/>
          <w:bCs/>
          <w:sz w:val="20"/>
          <w:szCs w:val="20"/>
          <w:u w:val="single"/>
        </w:rPr>
        <w:t>t Memurları Kanunu'nda disiplin soruşturmasını yapacak kişilerin kimler olacağı konusunda açık hüküm olmamakla beraber soruşturmacının soruşturulan kişinin üstü, bu mümkün değilse dengi statüsünde olan muhakkikçe yürütülmesi gerektiği yargısal içtihatlarla</w:t>
      </w:r>
      <w:r w:rsidRPr="00D349C2">
        <w:rPr>
          <w:rFonts w:ascii="Verdana" w:hAnsi="Verdana"/>
          <w:b/>
          <w:bCs/>
          <w:sz w:val="20"/>
          <w:szCs w:val="20"/>
          <w:u w:val="single"/>
        </w:rPr>
        <w:t xml:space="preserve"> kabul edilmiştir</w:t>
      </w:r>
      <w:r w:rsidRPr="00D349C2">
        <w:rPr>
          <w:rFonts w:ascii="Verdana" w:hAnsi="Verdana"/>
          <w:sz w:val="20"/>
          <w:szCs w:val="20"/>
        </w:rPr>
        <w:t>.</w:t>
      </w:r>
    </w:p>
    <w:p w:rsidR="00A41FD8" w:rsidRPr="00D349C2" w:rsidRDefault="006D765B">
      <w:pPr>
        <w:pStyle w:val="Gvdemetni0"/>
        <w:spacing w:after="300"/>
        <w:rPr>
          <w:rFonts w:ascii="Verdana" w:hAnsi="Verdana"/>
          <w:sz w:val="20"/>
          <w:szCs w:val="20"/>
        </w:rPr>
      </w:pPr>
      <w:r w:rsidRPr="00D349C2">
        <w:rPr>
          <w:rFonts w:ascii="Verdana" w:hAnsi="Verdana"/>
          <w:sz w:val="20"/>
          <w:szCs w:val="20"/>
        </w:rPr>
        <w:t>Öte yandan, disiplin soruşturmalarında iddia konusu suçların sübuta erip ermediği hususunda soruşturulanların görev yaptığı kurumun yapısı, mevzuatı, yürütülen hizmetin niteliği dikkate alınarak sonuca ulaşılacağından soruşturmacının kur</w:t>
      </w:r>
      <w:r w:rsidRPr="00D349C2">
        <w:rPr>
          <w:rFonts w:ascii="Verdana" w:hAnsi="Verdana"/>
          <w:sz w:val="20"/>
          <w:szCs w:val="20"/>
        </w:rPr>
        <w:t>umun sözü edilen özelliklerini bilmesi, bir başka deyişle o kurumda görev yapmasının kamu hizmetinin en iyi şekilde yürütülmesi ilkesine de uygun düşeceği tabiidir.</w:t>
      </w:r>
    </w:p>
    <w:p w:rsidR="00A41FD8" w:rsidRPr="00D349C2" w:rsidRDefault="006D765B">
      <w:pPr>
        <w:pStyle w:val="Gvdemetni0"/>
        <w:spacing w:after="300"/>
        <w:rPr>
          <w:rFonts w:ascii="Verdana" w:hAnsi="Verdana"/>
          <w:sz w:val="20"/>
          <w:szCs w:val="20"/>
        </w:rPr>
      </w:pPr>
      <w:r w:rsidRPr="00D349C2">
        <w:rPr>
          <w:rFonts w:ascii="Verdana" w:hAnsi="Verdana"/>
          <w:sz w:val="20"/>
          <w:szCs w:val="20"/>
        </w:rPr>
        <w:t xml:space="preserve">Olayda, disiplin soruşturmasını davacının dengi olarak kabulü gereken "Lise Müdürü" ile </w:t>
      </w:r>
      <w:proofErr w:type="gramStart"/>
      <w:r w:rsidRPr="00D349C2">
        <w:rPr>
          <w:rFonts w:ascii="Verdana" w:hAnsi="Verdana"/>
          <w:sz w:val="20"/>
          <w:szCs w:val="20"/>
        </w:rPr>
        <w:t>bir</w:t>
      </w:r>
      <w:r w:rsidRPr="00D349C2">
        <w:rPr>
          <w:rFonts w:ascii="Verdana" w:hAnsi="Verdana"/>
          <w:sz w:val="20"/>
          <w:szCs w:val="20"/>
        </w:rPr>
        <w:t>likte ...Mal</w:t>
      </w:r>
      <w:proofErr w:type="gramEnd"/>
      <w:r w:rsidR="00D349C2">
        <w:rPr>
          <w:rFonts w:ascii="Verdana" w:hAnsi="Verdana"/>
          <w:sz w:val="20"/>
          <w:szCs w:val="20"/>
        </w:rPr>
        <w:t xml:space="preserve"> </w:t>
      </w:r>
      <w:r w:rsidRPr="00D349C2">
        <w:rPr>
          <w:rFonts w:ascii="Verdana" w:hAnsi="Verdana"/>
          <w:sz w:val="20"/>
          <w:szCs w:val="20"/>
        </w:rPr>
        <w:t xml:space="preserve">müdürlüğünde Muhasebe Şefi olarak görev yapan "... </w:t>
      </w:r>
      <w:proofErr w:type="gramStart"/>
      <w:r w:rsidRPr="00D349C2">
        <w:rPr>
          <w:rFonts w:ascii="Verdana" w:hAnsi="Verdana"/>
          <w:sz w:val="20"/>
          <w:szCs w:val="20"/>
        </w:rPr>
        <w:t>"</w:t>
      </w:r>
      <w:proofErr w:type="spellStart"/>
      <w:r w:rsidRPr="00D349C2">
        <w:rPr>
          <w:rFonts w:ascii="Verdana" w:hAnsi="Verdana"/>
          <w:sz w:val="20"/>
          <w:szCs w:val="20"/>
        </w:rPr>
        <w:t>ın</w:t>
      </w:r>
      <w:proofErr w:type="spellEnd"/>
      <w:r w:rsidRPr="00D349C2">
        <w:rPr>
          <w:rFonts w:ascii="Verdana" w:hAnsi="Verdana"/>
          <w:sz w:val="20"/>
          <w:szCs w:val="20"/>
        </w:rPr>
        <w:t xml:space="preserve"> muhakkik sıfatıyla birlikte yaptığı görüldüğünden davacının dengi veya üstü konumunda bir idari göreve sahip bulunmadığı ve başka bir kurumda muhasebe şefi olarak görevli kişinin </w:t>
      </w:r>
      <w:proofErr w:type="spellStart"/>
      <w:r w:rsidRPr="00D349C2">
        <w:rPr>
          <w:rFonts w:ascii="Verdana" w:hAnsi="Verdana"/>
          <w:b/>
          <w:bCs/>
          <w:sz w:val="20"/>
          <w:szCs w:val="20"/>
          <w:u w:val="single"/>
        </w:rPr>
        <w:t>muhakkikli</w:t>
      </w:r>
      <w:r w:rsidRPr="00D349C2">
        <w:rPr>
          <w:rFonts w:ascii="Verdana" w:hAnsi="Verdana"/>
          <w:b/>
          <w:bCs/>
          <w:sz w:val="20"/>
          <w:szCs w:val="20"/>
          <w:u w:val="single"/>
        </w:rPr>
        <w:t>ğinde</w:t>
      </w:r>
      <w:proofErr w:type="spellEnd"/>
      <w:r w:rsidRPr="00D349C2">
        <w:rPr>
          <w:rFonts w:ascii="Verdana" w:hAnsi="Verdana"/>
          <w:b/>
          <w:bCs/>
          <w:sz w:val="20"/>
          <w:szCs w:val="20"/>
          <w:u w:val="single"/>
        </w:rPr>
        <w:t xml:space="preserve"> ve anılan unvanın uzmanlığını gerektiren soruşturma konusu bulunmadığı halde yürütülen disiplin soruşturması bu yönüyle hukuka aykırı bulunduğundan</w:t>
      </w:r>
      <w:r w:rsidRPr="00D349C2">
        <w:rPr>
          <w:rFonts w:ascii="Verdana" w:hAnsi="Verdana"/>
          <w:sz w:val="20"/>
          <w:szCs w:val="20"/>
          <w:u w:val="single"/>
        </w:rPr>
        <w:t>,</w:t>
      </w:r>
      <w:r w:rsidRPr="00D349C2">
        <w:rPr>
          <w:rFonts w:ascii="Verdana" w:hAnsi="Verdana"/>
          <w:sz w:val="20"/>
          <w:szCs w:val="20"/>
        </w:rPr>
        <w:t xml:space="preserve"> davacı hakkında soruşturma ya da inceleme yapma yetkisine sahip bulunmayan " muhasebe şefi unvanlı" s</w:t>
      </w:r>
      <w:r w:rsidRPr="00D349C2">
        <w:rPr>
          <w:rFonts w:ascii="Verdana" w:hAnsi="Verdana"/>
          <w:sz w:val="20"/>
          <w:szCs w:val="20"/>
        </w:rPr>
        <w:t>oruşturmacının katılımı ile hazırlanan soruşturma raporuna dayalı olarak tesis edilen dava konusu disiplin cezası ile cezalandırma işleminde hukuka uyarlık, aksi yöndeki İdare Mahkemesi kararında hukuki isabet bulunmamaktadır.</w:t>
      </w:r>
      <w:proofErr w:type="gramEnd"/>
    </w:p>
    <w:p w:rsidR="00A41FD8" w:rsidRPr="00D349C2" w:rsidRDefault="006D765B">
      <w:pPr>
        <w:pStyle w:val="Gvdemetni0"/>
        <w:spacing w:after="300"/>
        <w:rPr>
          <w:rFonts w:ascii="Verdana" w:hAnsi="Verdana"/>
          <w:sz w:val="20"/>
          <w:szCs w:val="20"/>
        </w:rPr>
      </w:pPr>
      <w:r w:rsidRPr="00D349C2">
        <w:rPr>
          <w:rFonts w:ascii="Verdana" w:hAnsi="Verdana"/>
          <w:sz w:val="20"/>
          <w:szCs w:val="20"/>
        </w:rPr>
        <w:t>Açıklanan nedenlerle, davacın</w:t>
      </w:r>
      <w:r w:rsidRPr="00D349C2">
        <w:rPr>
          <w:rFonts w:ascii="Verdana" w:hAnsi="Verdana"/>
          <w:sz w:val="20"/>
          <w:szCs w:val="20"/>
        </w:rPr>
        <w:t>ın temyiz isteminin kabulü ile Mahkeme kararının bozulmasına, yeniden bir karar verilmek üzere dosyanın İdare Mahkemesine gönderilmesine, bu kararın tebliğ tarihini izleyen 15 (</w:t>
      </w:r>
      <w:proofErr w:type="spellStart"/>
      <w:r w:rsidRPr="00D349C2">
        <w:rPr>
          <w:rFonts w:ascii="Verdana" w:hAnsi="Verdana"/>
          <w:sz w:val="20"/>
          <w:szCs w:val="20"/>
        </w:rPr>
        <w:t>onbeş</w:t>
      </w:r>
      <w:proofErr w:type="spellEnd"/>
      <w:r w:rsidRPr="00D349C2">
        <w:rPr>
          <w:rFonts w:ascii="Verdana" w:hAnsi="Verdana"/>
          <w:sz w:val="20"/>
          <w:szCs w:val="20"/>
        </w:rPr>
        <w:t>) gün içerisinde kararın düzeltilmesi yolu açık olmak üzere, 26.09.2013 ta</w:t>
      </w:r>
      <w:r w:rsidRPr="00D349C2">
        <w:rPr>
          <w:rFonts w:ascii="Verdana" w:hAnsi="Verdana"/>
          <w:sz w:val="20"/>
          <w:szCs w:val="20"/>
        </w:rPr>
        <w:t>rihinde oybirliği ile karar verildi</w:t>
      </w:r>
    </w:p>
    <w:sectPr w:rsidR="00A41FD8" w:rsidRPr="00D349C2">
      <w:pgSz w:w="11900" w:h="16840"/>
      <w:pgMar w:top="1414" w:right="1402" w:bottom="1248" w:left="1373" w:header="986" w:footer="8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5B" w:rsidRDefault="006D765B">
      <w:r>
        <w:separator/>
      </w:r>
    </w:p>
  </w:endnote>
  <w:endnote w:type="continuationSeparator" w:id="0">
    <w:p w:rsidR="006D765B" w:rsidRDefault="006D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5B" w:rsidRDefault="006D765B"/>
  </w:footnote>
  <w:footnote w:type="continuationSeparator" w:id="0">
    <w:p w:rsidR="006D765B" w:rsidRDefault="006D76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41FD8"/>
    <w:rsid w:val="006D765B"/>
    <w:rsid w:val="00A41FD8"/>
    <w:rsid w:val="00D349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shd w:val="clear" w:color="auto" w:fill="auto"/>
    </w:rPr>
  </w:style>
  <w:style w:type="paragraph" w:customStyle="1" w:styleId="Gvdemetni0">
    <w:name w:val="Gövde metni"/>
    <w:basedOn w:val="Normal"/>
    <w:link w:val="Gvdemetni"/>
    <w:pPr>
      <w:spacing w:after="320" w:line="276"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shd w:val="clear" w:color="auto" w:fill="auto"/>
    </w:rPr>
  </w:style>
  <w:style w:type="paragraph" w:customStyle="1" w:styleId="Gvdemetni0">
    <w:name w:val="Gövde metni"/>
    <w:basedOn w:val="Normal"/>
    <w:link w:val="Gvdemetni"/>
    <w:pPr>
      <w:spacing w:after="320" w:line="276"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ÇOLAK</dc:creator>
  <cp:keywords/>
  <cp:lastModifiedBy>ACER</cp:lastModifiedBy>
  <cp:revision>2</cp:revision>
  <dcterms:created xsi:type="dcterms:W3CDTF">2021-03-04T18:41:00Z</dcterms:created>
  <dcterms:modified xsi:type="dcterms:W3CDTF">2021-03-04T18:43:00Z</dcterms:modified>
</cp:coreProperties>
</file>